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970568" w14:textId="64338285" w:rsidR="009513B2" w:rsidRDefault="009513B2" w:rsidP="009513B2">
      <w:pPr>
        <w:spacing w:after="0"/>
        <w:jc w:val="center"/>
        <w:rPr>
          <w:rFonts w:eastAsiaTheme="minorEastAsia"/>
          <w:b/>
          <w:bCs/>
        </w:rPr>
      </w:pPr>
      <w:r w:rsidRPr="00BA59B8">
        <w:rPr>
          <w:rFonts w:eastAsiaTheme="minorEastAsia"/>
          <w:b/>
          <w:bCs/>
        </w:rPr>
        <w:t xml:space="preserve">Lawyers In </w:t>
      </w:r>
      <w:proofErr w:type="gramStart"/>
      <w:r w:rsidRPr="00BA59B8">
        <w:rPr>
          <w:rFonts w:eastAsiaTheme="minorEastAsia"/>
          <w:b/>
          <w:bCs/>
        </w:rPr>
        <w:t>The</w:t>
      </w:r>
      <w:proofErr w:type="gramEnd"/>
      <w:r w:rsidRPr="00BA59B8">
        <w:rPr>
          <w:rFonts w:eastAsiaTheme="minorEastAsia"/>
          <w:b/>
          <w:bCs/>
        </w:rPr>
        <w:t xml:space="preserve"> Classroom</w:t>
      </w:r>
    </w:p>
    <w:p w14:paraId="48AA5EF0" w14:textId="03E85484" w:rsidR="009513B2" w:rsidRDefault="009513B2" w:rsidP="009513B2">
      <w:pPr>
        <w:spacing w:after="0"/>
        <w:jc w:val="center"/>
        <w:rPr>
          <w:rFonts w:eastAsiaTheme="minorEastAsia"/>
          <w:b/>
          <w:bCs/>
        </w:rPr>
      </w:pPr>
      <w:r>
        <w:rPr>
          <w:rFonts w:eastAsiaTheme="minorEastAsia"/>
          <w:b/>
          <w:bCs/>
        </w:rPr>
        <w:t xml:space="preserve">CONSTITUTION DAY </w:t>
      </w:r>
      <w:r w:rsidRPr="00BA59B8">
        <w:rPr>
          <w:rFonts w:eastAsiaTheme="minorEastAsia"/>
          <w:b/>
          <w:bCs/>
        </w:rPr>
        <w:t>LESSON PLANNING GUIDE</w:t>
      </w:r>
    </w:p>
    <w:p w14:paraId="1A584DB8" w14:textId="341D7A5E" w:rsidR="009513B2" w:rsidRPr="00BA59B8" w:rsidRDefault="009513B2" w:rsidP="009513B2">
      <w:pPr>
        <w:spacing w:after="0"/>
        <w:jc w:val="center"/>
        <w:rPr>
          <w:rFonts w:eastAsiaTheme="minorEastAsia"/>
          <w:b/>
          <w:bCs/>
        </w:rPr>
      </w:pPr>
    </w:p>
    <w:p w14:paraId="48697254" w14:textId="34805C1E" w:rsidR="009513B2" w:rsidRPr="009513B2" w:rsidRDefault="009513B2" w:rsidP="009513B2">
      <w:pPr>
        <w:pStyle w:val="Heading1"/>
        <w:spacing w:before="240"/>
        <w:rPr>
          <w:rFonts w:ascii="Arial" w:hAnsi="Arial" w:cs="Arial"/>
        </w:rPr>
      </w:pPr>
      <w:r w:rsidRPr="009513B2">
        <w:rPr>
          <w:rFonts w:ascii="Arial" w:hAnsi="Arial" w:cs="Arial"/>
        </w:rPr>
        <w:t>Your journey at-a-glance</w:t>
      </w:r>
    </w:p>
    <w:p w14:paraId="4487E3BA" w14:textId="77777777" w:rsidR="009513B2" w:rsidRPr="009513B2" w:rsidRDefault="009513B2" w:rsidP="009513B2">
      <w:pPr>
        <w:spacing w:after="120"/>
        <w:rPr>
          <w:rFonts w:ascii="Arial" w:eastAsia="Arial" w:hAnsi="Arial" w:cs="Arial"/>
        </w:rPr>
      </w:pPr>
      <w:r w:rsidRPr="009513B2">
        <w:rPr>
          <w:rFonts w:ascii="Arial" w:eastAsia="Arial" w:hAnsi="Arial" w:cs="Arial"/>
        </w:rPr>
        <w:t xml:space="preserve">The visual flowchart below shows key touchpoints of your planning journey. You've </w:t>
      </w:r>
      <w:proofErr w:type="gramStart"/>
      <w:r w:rsidRPr="009513B2">
        <w:rPr>
          <w:rFonts w:ascii="Arial" w:eastAsia="Arial" w:hAnsi="Arial" w:cs="Arial"/>
        </w:rPr>
        <w:t>made contact with</w:t>
      </w:r>
      <w:proofErr w:type="gramEnd"/>
      <w:r w:rsidRPr="009513B2">
        <w:rPr>
          <w:rFonts w:ascii="Arial" w:eastAsia="Arial" w:hAnsi="Arial" w:cs="Arial"/>
        </w:rPr>
        <w:t xml:space="preserve"> your school or teacher, have a class and a date confirmed for your visit. From here, planning splits into two tracks depending on one thing: whether the teacher handed you a lesson or left it up to you. </w:t>
      </w:r>
    </w:p>
    <w:p w14:paraId="2C383F53" w14:textId="77777777" w:rsidR="009513B2" w:rsidRPr="009513B2" w:rsidRDefault="009513B2" w:rsidP="009513B2">
      <w:pPr>
        <w:pStyle w:val="Heading1"/>
        <w:spacing w:before="0" w:after="0"/>
        <w:jc w:val="center"/>
        <w:rPr>
          <w:rFonts w:ascii="Arial" w:eastAsia="Arial" w:hAnsi="Arial" w:cs="Arial"/>
          <w:b/>
          <w:bCs/>
          <w:color w:val="000000"/>
          <w:sz w:val="28"/>
          <w:szCs w:val="28"/>
        </w:rPr>
      </w:pPr>
      <w:bookmarkStart w:id="0" w:name="d8z6gcjaaum3"/>
      <w:bookmarkStart w:id="1" w:name="_Before_you_start"/>
      <w:bookmarkEnd w:id="0"/>
      <w:bookmarkEnd w:id="1"/>
      <w:r w:rsidRPr="009513B2">
        <w:rPr>
          <w:rFonts w:ascii="Arial" w:hAnsi="Arial" w:cs="Arial"/>
          <w:noProof/>
        </w:rPr>
        <w:drawing>
          <wp:inline distT="0" distB="0" distL="0" distR="0" wp14:anchorId="3A668A70" wp14:editId="02FEF2C5">
            <wp:extent cx="6138249" cy="5401416"/>
            <wp:effectExtent l="0" t="0" r="0" b="0"/>
            <wp:docPr id="1088757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757270" name="Picture 1088757270"/>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20457" cy="5649747"/>
                    </a:xfrm>
                    <a:prstGeom prst="rect">
                      <a:avLst/>
                    </a:prstGeom>
                  </pic:spPr>
                </pic:pic>
              </a:graphicData>
            </a:graphic>
          </wp:inline>
        </w:drawing>
      </w:r>
      <w:bookmarkStart w:id="2" w:name="_Quick_checklist:_Before"/>
      <w:bookmarkEnd w:id="2"/>
    </w:p>
    <w:p w14:paraId="31359B15" w14:textId="77777777" w:rsidR="009513B2" w:rsidRDefault="009513B2">
      <w:pPr>
        <w:rPr>
          <w:rFonts w:ascii="Arial" w:eastAsiaTheme="majorEastAsia" w:hAnsi="Arial" w:cs="Arial"/>
          <w:color w:val="0F4761" w:themeColor="accent1" w:themeShade="BF"/>
          <w:sz w:val="40"/>
          <w:szCs w:val="40"/>
        </w:rPr>
      </w:pPr>
      <w:r>
        <w:rPr>
          <w:rFonts w:ascii="Arial" w:hAnsi="Arial" w:cs="Arial"/>
        </w:rPr>
        <w:br w:type="page"/>
      </w:r>
    </w:p>
    <w:p w14:paraId="04E21B16" w14:textId="11E249CB" w:rsidR="009513B2" w:rsidRPr="009513B2" w:rsidRDefault="009513B2" w:rsidP="009513B2">
      <w:pPr>
        <w:pStyle w:val="Heading1"/>
        <w:rPr>
          <w:rFonts w:ascii="Arial" w:hAnsi="Arial" w:cs="Arial"/>
        </w:rPr>
      </w:pPr>
      <w:r w:rsidRPr="009513B2">
        <w:rPr>
          <w:rFonts w:ascii="Arial" w:hAnsi="Arial" w:cs="Arial"/>
        </w:rPr>
        <w:lastRenderedPageBreak/>
        <w:t>Which track are you on?</w:t>
      </w:r>
    </w:p>
    <w:p w14:paraId="566CD7E0" w14:textId="7135DCDA" w:rsidR="009513B2" w:rsidRPr="009513B2" w:rsidRDefault="009513B2" w:rsidP="009513B2">
      <w:pPr>
        <w:rPr>
          <w:rFonts w:ascii="Arial" w:hAnsi="Arial" w:cs="Arial"/>
        </w:rPr>
      </w:pPr>
      <w:r w:rsidRPr="009513B2">
        <w:rPr>
          <w:rFonts w:ascii="Arial" w:eastAsia="Arial" w:hAnsi="Arial" w:cs="Arial"/>
        </w:rPr>
        <w:t>Pick your planning track below. Both lead to the same place — walking in ready to inspire. Whichever track you’re on, your lesson should teach at least two of the core constitutional ideas.</w:t>
      </w:r>
    </w:p>
    <w:tbl>
      <w:tblPr>
        <w:tblW w:w="9175" w:type="dxa"/>
        <w:tblBorders>
          <w:top w:val="nil"/>
          <w:left w:val="nil"/>
          <w:bottom w:val="nil"/>
          <w:right w:val="nil"/>
          <w:insideH w:val="nil"/>
          <w:insideV w:val="nil"/>
        </w:tblBorders>
        <w:tblLayout w:type="fixed"/>
        <w:tblLook w:val="0400" w:firstRow="0" w:lastRow="0" w:firstColumn="0" w:lastColumn="0" w:noHBand="0" w:noVBand="1"/>
      </w:tblPr>
      <w:tblGrid>
        <w:gridCol w:w="9175"/>
      </w:tblGrid>
      <w:tr w:rsidR="009513B2" w:rsidRPr="009513B2" w14:paraId="2719FDD1" w14:textId="77777777" w:rsidTr="009513B2">
        <w:trPr>
          <w:trHeight w:val="4391"/>
        </w:trPr>
        <w:tc>
          <w:tcPr>
            <w:tcW w:w="9175" w:type="dxa"/>
            <w:tcBorders>
              <w:top w:val="single" w:sz="4" w:space="0" w:color="auto"/>
              <w:left w:val="single" w:sz="4" w:space="0" w:color="auto"/>
              <w:bottom w:val="single" w:sz="4" w:space="0" w:color="auto"/>
              <w:right w:val="single" w:sz="4" w:space="0" w:color="auto"/>
            </w:tcBorders>
            <w:shd w:val="clear" w:color="auto" w:fill="C1F0C7" w:themeFill="accent3" w:themeFillTint="33"/>
          </w:tcPr>
          <w:p w14:paraId="372E6998" w14:textId="77777777" w:rsidR="009513B2" w:rsidRPr="009513B2" w:rsidRDefault="009513B2" w:rsidP="009513B2">
            <w:pPr>
              <w:rPr>
                <w:rFonts w:ascii="Arial" w:hAnsi="Arial" w:cs="Arial"/>
                <w:b/>
                <w:bCs/>
                <w:sz w:val="22"/>
                <w:szCs w:val="22"/>
              </w:rPr>
            </w:pPr>
            <w:r w:rsidRPr="009513B2">
              <w:rPr>
                <w:rFonts w:ascii="Arial" w:hAnsi="Arial" w:cs="Arial"/>
                <w:b/>
                <w:bCs/>
                <w:sz w:val="22"/>
                <w:szCs w:val="22"/>
              </w:rPr>
              <w:t>Track 1: Teacher has a lesson or ideas already</w:t>
            </w:r>
          </w:p>
          <w:p w14:paraId="0A95C084" w14:textId="77777777" w:rsidR="009513B2" w:rsidRPr="009513B2" w:rsidRDefault="009513B2" w:rsidP="009513B2">
            <w:pPr>
              <w:rPr>
                <w:rFonts w:ascii="Arial" w:hAnsi="Arial" w:cs="Arial"/>
                <w:sz w:val="22"/>
                <w:szCs w:val="22"/>
              </w:rPr>
            </w:pPr>
            <w:bookmarkStart w:id="3" w:name="_Teacher_has_a"/>
            <w:bookmarkEnd w:id="3"/>
            <w:r w:rsidRPr="009513B2">
              <w:rPr>
                <w:rFonts w:ascii="Arial" w:hAnsi="Arial" w:cs="Arial"/>
                <w:sz w:val="22"/>
                <w:szCs w:val="22"/>
              </w:rPr>
              <w:t>The hardest decision is already made. Your job is to run with it.</w:t>
            </w:r>
          </w:p>
          <w:p w14:paraId="2E0748B1" w14:textId="77777777" w:rsidR="009513B2" w:rsidRPr="009513B2" w:rsidRDefault="009513B2" w:rsidP="009513B2">
            <w:pPr>
              <w:numPr>
                <w:ilvl w:val="0"/>
                <w:numId w:val="2"/>
              </w:numPr>
              <w:rPr>
                <w:rFonts w:ascii="Arial" w:hAnsi="Arial" w:cs="Arial"/>
                <w:sz w:val="22"/>
                <w:szCs w:val="22"/>
              </w:rPr>
            </w:pPr>
            <w:r w:rsidRPr="009513B2">
              <w:rPr>
                <w:rFonts w:ascii="Arial" w:hAnsi="Arial" w:cs="Arial"/>
                <w:b/>
                <w:bCs/>
                <w:sz w:val="22"/>
                <w:szCs w:val="22"/>
              </w:rPr>
              <w:t xml:space="preserve">Confirm the lesson, topic, and grade. </w:t>
            </w:r>
            <w:r w:rsidRPr="009513B2">
              <w:rPr>
                <w:rFonts w:ascii="Arial" w:hAnsi="Arial" w:cs="Arial"/>
                <w:sz w:val="22"/>
                <w:szCs w:val="22"/>
              </w:rPr>
              <w:t>Get the specifics — the exact lesson or topic, grade level, and how long you’ll have. In writing, if you can.</w:t>
            </w:r>
          </w:p>
          <w:p w14:paraId="687C85BD" w14:textId="77777777" w:rsidR="009513B2" w:rsidRPr="009513B2" w:rsidRDefault="009513B2" w:rsidP="009513B2">
            <w:pPr>
              <w:numPr>
                <w:ilvl w:val="0"/>
                <w:numId w:val="2"/>
              </w:numPr>
              <w:rPr>
                <w:rFonts w:ascii="Arial" w:hAnsi="Arial" w:cs="Arial"/>
                <w:sz w:val="22"/>
                <w:szCs w:val="22"/>
              </w:rPr>
            </w:pPr>
            <w:r w:rsidRPr="009513B2">
              <w:rPr>
                <w:rFonts w:ascii="Arial" w:hAnsi="Arial" w:cs="Arial"/>
                <w:b/>
                <w:bCs/>
                <w:sz w:val="22"/>
                <w:szCs w:val="22"/>
              </w:rPr>
              <w:t xml:space="preserve">Skim it and gather materials. </w:t>
            </w:r>
            <w:r w:rsidRPr="009513B2">
              <w:rPr>
                <w:rFonts w:ascii="Arial" w:hAnsi="Arial" w:cs="Arial"/>
                <w:sz w:val="22"/>
                <w:szCs w:val="22"/>
              </w:rPr>
              <w:t xml:space="preserve">Pick a single ready-to-run lesson from the Constitution Day Curriculum Library or Lesson Toolkit that aligns (or ask the teacher to share) and note anything to prepare or print. Be sure to land at least two core Constitutional ideas. </w:t>
            </w:r>
          </w:p>
          <w:p w14:paraId="0C23A2E4" w14:textId="77777777" w:rsidR="009513B2" w:rsidRPr="009513B2" w:rsidRDefault="009513B2" w:rsidP="009513B2">
            <w:pPr>
              <w:numPr>
                <w:ilvl w:val="0"/>
                <w:numId w:val="2"/>
              </w:numPr>
              <w:rPr>
                <w:rFonts w:ascii="Arial" w:hAnsi="Arial" w:cs="Arial"/>
                <w:sz w:val="22"/>
                <w:szCs w:val="22"/>
              </w:rPr>
            </w:pPr>
            <w:r w:rsidRPr="009513B2">
              <w:rPr>
                <w:rFonts w:ascii="Arial" w:hAnsi="Arial" w:cs="Arial"/>
                <w:b/>
                <w:bCs/>
                <w:sz w:val="22"/>
                <w:szCs w:val="22"/>
              </w:rPr>
              <w:t xml:space="preserve">Map it onto the period. </w:t>
            </w:r>
            <w:r w:rsidRPr="009513B2">
              <w:rPr>
                <w:rFonts w:ascii="Arial" w:hAnsi="Arial" w:cs="Arial"/>
                <w:sz w:val="22"/>
                <w:szCs w:val="22"/>
              </w:rPr>
              <w:t xml:space="preserve">Slot the lesson's activity into Part 4 — the main event — and build the rest of the class period around it. See </w:t>
            </w:r>
            <w:hyperlink w:anchor="_Your_visit_at-a-glance">
              <w:r w:rsidRPr="009513B2">
                <w:rPr>
                  <w:rStyle w:val="Hyperlink"/>
                  <w:rFonts w:ascii="Arial" w:hAnsi="Arial" w:cs="Arial"/>
                  <w:sz w:val="22"/>
                  <w:szCs w:val="22"/>
                </w:rPr>
                <w:t>Your visit at-a-glance</w:t>
              </w:r>
            </w:hyperlink>
            <w:r w:rsidRPr="009513B2">
              <w:rPr>
                <w:rFonts w:ascii="Arial" w:hAnsi="Arial" w:cs="Arial"/>
                <w:sz w:val="22"/>
                <w:szCs w:val="22"/>
              </w:rPr>
              <w:t>.</w:t>
            </w:r>
          </w:p>
          <w:p w14:paraId="4E2CC8A3" w14:textId="77777777" w:rsidR="009513B2" w:rsidRPr="009513B2" w:rsidRDefault="009513B2" w:rsidP="009513B2">
            <w:pPr>
              <w:numPr>
                <w:ilvl w:val="0"/>
                <w:numId w:val="2"/>
              </w:numPr>
              <w:rPr>
                <w:rFonts w:ascii="Arial" w:hAnsi="Arial" w:cs="Arial"/>
                <w:sz w:val="22"/>
                <w:szCs w:val="22"/>
              </w:rPr>
            </w:pPr>
            <w:r w:rsidRPr="009513B2">
              <w:rPr>
                <w:rFonts w:ascii="Arial" w:hAnsi="Arial" w:cs="Arial"/>
                <w:b/>
                <w:bCs/>
                <w:sz w:val="22"/>
                <w:szCs w:val="22"/>
              </w:rPr>
              <w:t xml:space="preserve">Prep and confirm logistics. </w:t>
            </w:r>
            <w:r w:rsidRPr="009513B2">
              <w:rPr>
                <w:rFonts w:ascii="Arial" w:hAnsi="Arial" w:cs="Arial"/>
                <w:sz w:val="22"/>
                <w:szCs w:val="22"/>
              </w:rPr>
              <w:t xml:space="preserve">Confirm room, timing, and AV needs (projector, screen, speakers) with the teacher — and if mock trial's part of your visit, start earlier: scripts and role assignments need lead time. Then build your full presentation, from opening hook to closing takeaway — don't wing it. See </w:t>
            </w:r>
            <w:hyperlink w:anchor="_Visit_Agenda_&amp;" w:history="1">
              <w:r w:rsidRPr="009513B2">
                <w:rPr>
                  <w:rStyle w:val="Hyperlink"/>
                  <w:rFonts w:ascii="Arial" w:hAnsi="Arial" w:cs="Arial"/>
                  <w:sz w:val="22"/>
                  <w:szCs w:val="22"/>
                </w:rPr>
                <w:t>Visit Agenda &amp; Tips</w:t>
              </w:r>
              <w:r w:rsidRPr="009513B2">
                <w:rPr>
                  <w:rStyle w:val="Hyperlink"/>
                  <w:rFonts w:ascii="Arial" w:hAnsi="Arial" w:cs="Arial"/>
                  <w:b/>
                  <w:bCs/>
                  <w:sz w:val="22"/>
                  <w:szCs w:val="22"/>
                </w:rPr>
                <w:t>.</w:t>
              </w:r>
            </w:hyperlink>
          </w:p>
        </w:tc>
      </w:tr>
      <w:tr w:rsidR="009513B2" w:rsidRPr="009513B2" w14:paraId="7468C266" w14:textId="77777777" w:rsidTr="009513B2">
        <w:trPr>
          <w:trHeight w:val="5723"/>
        </w:trPr>
        <w:tc>
          <w:tcPr>
            <w:tcW w:w="9175"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2B2B0448" w14:textId="77777777" w:rsidR="009513B2" w:rsidRPr="009513B2" w:rsidRDefault="009513B2" w:rsidP="009513B2">
            <w:pPr>
              <w:rPr>
                <w:rFonts w:ascii="Arial" w:hAnsi="Arial" w:cs="Arial"/>
                <w:b/>
                <w:bCs/>
                <w:sz w:val="22"/>
                <w:szCs w:val="22"/>
              </w:rPr>
            </w:pPr>
            <w:r w:rsidRPr="009513B2">
              <w:rPr>
                <w:rFonts w:ascii="Arial" w:hAnsi="Arial" w:cs="Arial"/>
                <w:b/>
                <w:bCs/>
                <w:sz w:val="22"/>
                <w:szCs w:val="22"/>
              </w:rPr>
              <w:t>Track 2: You have free range</w:t>
            </w:r>
          </w:p>
          <w:p w14:paraId="2C501154" w14:textId="77777777" w:rsidR="009513B2" w:rsidRPr="009513B2" w:rsidRDefault="009513B2" w:rsidP="009513B2">
            <w:pPr>
              <w:rPr>
                <w:rFonts w:ascii="Arial" w:hAnsi="Arial" w:cs="Arial"/>
                <w:sz w:val="22"/>
                <w:szCs w:val="22"/>
              </w:rPr>
            </w:pPr>
            <w:bookmarkStart w:id="4" w:name="_You_have_free"/>
            <w:bookmarkEnd w:id="4"/>
            <w:r w:rsidRPr="009513B2">
              <w:rPr>
                <w:rFonts w:ascii="Arial" w:hAnsi="Arial" w:cs="Arial"/>
                <w:sz w:val="22"/>
                <w:szCs w:val="22"/>
              </w:rPr>
              <w:t>A blank page feels bigger than it is. Here’s how to decide quickly and not overthink it.</w:t>
            </w:r>
          </w:p>
          <w:p w14:paraId="16B58ED2" w14:textId="77777777" w:rsidR="009513B2" w:rsidRPr="009513B2" w:rsidRDefault="009513B2" w:rsidP="009513B2">
            <w:pPr>
              <w:numPr>
                <w:ilvl w:val="0"/>
                <w:numId w:val="1"/>
              </w:numPr>
              <w:rPr>
                <w:rFonts w:ascii="Arial" w:hAnsi="Arial" w:cs="Arial"/>
                <w:sz w:val="22"/>
                <w:szCs w:val="22"/>
              </w:rPr>
            </w:pPr>
            <w:r w:rsidRPr="009513B2">
              <w:rPr>
                <w:rFonts w:ascii="Arial" w:hAnsi="Arial" w:cs="Arial"/>
                <w:b/>
                <w:bCs/>
                <w:sz w:val="22"/>
                <w:szCs w:val="22"/>
              </w:rPr>
              <w:t xml:space="preserve">Pick your grade band and format. </w:t>
            </w:r>
            <w:r w:rsidRPr="009513B2">
              <w:rPr>
                <w:rFonts w:ascii="Arial" w:hAnsi="Arial" w:cs="Arial"/>
                <w:sz w:val="22"/>
                <w:szCs w:val="22"/>
              </w:rPr>
              <w:t>Think about which age group excites you and what kind of session you'd enjoy running — an activity, a discussion, or a read-aloud.</w:t>
            </w:r>
            <w:r w:rsidRPr="009513B2">
              <w:rPr>
                <w:rFonts w:ascii="Arial" w:hAnsi="Arial" w:cs="Arial"/>
                <w:b/>
                <w:bCs/>
                <w:sz w:val="22"/>
                <w:szCs w:val="22"/>
              </w:rPr>
              <w:t xml:space="preserve"> </w:t>
            </w:r>
            <w:r w:rsidRPr="009513B2">
              <w:rPr>
                <w:rFonts w:ascii="Arial" w:hAnsi="Arial" w:cs="Arial"/>
                <w:sz w:val="22"/>
                <w:szCs w:val="22"/>
              </w:rPr>
              <w:t xml:space="preserve">(Step 1 of the </w:t>
            </w:r>
            <w:hyperlink r:id="rId6" w:history="1">
              <w:r w:rsidRPr="009513B2">
                <w:rPr>
                  <w:rStyle w:val="Hyperlink"/>
                  <w:rFonts w:ascii="Arial" w:hAnsi="Arial" w:cs="Arial"/>
                  <w:sz w:val="22"/>
                  <w:szCs w:val="22"/>
                </w:rPr>
                <w:t>Volunteer Toolkit</w:t>
              </w:r>
            </w:hyperlink>
            <w:r w:rsidRPr="009513B2">
              <w:rPr>
                <w:rFonts w:ascii="Arial" w:hAnsi="Arial" w:cs="Arial"/>
                <w:sz w:val="22"/>
                <w:szCs w:val="22"/>
              </w:rPr>
              <w:t xml:space="preserve"> can help if you’re undecided.)</w:t>
            </w:r>
          </w:p>
          <w:p w14:paraId="4E34D6D2" w14:textId="77777777" w:rsidR="009513B2" w:rsidRPr="009513B2" w:rsidRDefault="009513B2" w:rsidP="009513B2">
            <w:pPr>
              <w:numPr>
                <w:ilvl w:val="0"/>
                <w:numId w:val="1"/>
              </w:numPr>
              <w:rPr>
                <w:rFonts w:ascii="Arial" w:hAnsi="Arial" w:cs="Arial"/>
                <w:sz w:val="22"/>
                <w:szCs w:val="22"/>
              </w:rPr>
            </w:pPr>
            <w:r w:rsidRPr="009513B2">
              <w:rPr>
                <w:rFonts w:ascii="Arial" w:hAnsi="Arial" w:cs="Arial"/>
                <w:b/>
                <w:bCs/>
                <w:sz w:val="22"/>
                <w:szCs w:val="22"/>
              </w:rPr>
              <w:t xml:space="preserve">Choose one lesson from the library. </w:t>
            </w:r>
            <w:r w:rsidRPr="009513B2">
              <w:rPr>
                <w:rFonts w:ascii="Arial" w:hAnsi="Arial" w:cs="Arial"/>
                <w:sz w:val="22"/>
                <w:szCs w:val="22"/>
              </w:rPr>
              <w:t xml:space="preserve">Pick a single ready-to-run lesson from the Curriculum Library or Lesson Toolkit that fits your grade and lands at least two core Constitutional ideas. </w:t>
            </w:r>
          </w:p>
          <w:p w14:paraId="5C220988" w14:textId="77777777" w:rsidR="009513B2" w:rsidRPr="009513B2" w:rsidRDefault="009513B2" w:rsidP="009513B2">
            <w:pPr>
              <w:numPr>
                <w:ilvl w:val="0"/>
                <w:numId w:val="1"/>
              </w:numPr>
              <w:rPr>
                <w:rFonts w:ascii="Arial" w:hAnsi="Arial" w:cs="Arial"/>
                <w:sz w:val="22"/>
                <w:szCs w:val="22"/>
              </w:rPr>
            </w:pPr>
            <w:r w:rsidRPr="009513B2">
              <w:rPr>
                <w:rFonts w:ascii="Arial" w:hAnsi="Arial" w:cs="Arial"/>
                <w:b/>
                <w:bCs/>
                <w:sz w:val="22"/>
                <w:szCs w:val="22"/>
              </w:rPr>
              <w:t xml:space="preserve">Run it by the teacher. </w:t>
            </w:r>
            <w:r w:rsidRPr="009513B2">
              <w:rPr>
                <w:rFonts w:ascii="Arial" w:hAnsi="Arial" w:cs="Arial"/>
                <w:sz w:val="22"/>
                <w:szCs w:val="22"/>
              </w:rPr>
              <w:t>A quick check-in early on goes a long way: "I'm thinking of [lesson] — does that work for your class?" It's their room, and a quick confirmation avoids surprises.</w:t>
            </w:r>
          </w:p>
          <w:p w14:paraId="20D49F0B" w14:textId="77777777" w:rsidR="009513B2" w:rsidRPr="009513B2" w:rsidRDefault="009513B2" w:rsidP="009513B2">
            <w:pPr>
              <w:numPr>
                <w:ilvl w:val="0"/>
                <w:numId w:val="1"/>
              </w:numPr>
              <w:rPr>
                <w:rFonts w:ascii="Arial" w:hAnsi="Arial" w:cs="Arial"/>
                <w:sz w:val="22"/>
                <w:szCs w:val="22"/>
              </w:rPr>
            </w:pPr>
            <w:r w:rsidRPr="009513B2">
              <w:rPr>
                <w:rFonts w:ascii="Arial" w:hAnsi="Arial" w:cs="Arial"/>
                <w:b/>
                <w:bCs/>
                <w:sz w:val="22"/>
                <w:szCs w:val="22"/>
              </w:rPr>
              <w:t>Map it onto the period</w:t>
            </w:r>
            <w:r w:rsidRPr="009513B2">
              <w:rPr>
                <w:rFonts w:ascii="Arial" w:hAnsi="Arial" w:cs="Arial"/>
                <w:sz w:val="22"/>
                <w:szCs w:val="22"/>
              </w:rPr>
              <w:t xml:space="preserve">. Drop your chosen activity into Part 4 — the main event — and build the rest of the class period around it. See </w:t>
            </w:r>
            <w:hyperlink w:anchor="_Your_visit_at-a-glance">
              <w:r w:rsidRPr="009513B2">
                <w:rPr>
                  <w:rStyle w:val="Hyperlink"/>
                  <w:rFonts w:ascii="Arial" w:hAnsi="Arial" w:cs="Arial"/>
                  <w:sz w:val="22"/>
                  <w:szCs w:val="22"/>
                </w:rPr>
                <w:t>You</w:t>
              </w:r>
            </w:hyperlink>
            <w:hyperlink w:anchor="_Your_visit_at-a-glance">
              <w:r w:rsidRPr="009513B2">
                <w:rPr>
                  <w:rStyle w:val="Hyperlink"/>
                  <w:rFonts w:ascii="Arial" w:hAnsi="Arial" w:cs="Arial"/>
                  <w:sz w:val="22"/>
                  <w:szCs w:val="22"/>
                </w:rPr>
                <w:t xml:space="preserve">r </w:t>
              </w:r>
              <w:proofErr w:type="gramStart"/>
              <w:r w:rsidRPr="009513B2">
                <w:rPr>
                  <w:rStyle w:val="Hyperlink"/>
                  <w:rFonts w:ascii="Arial" w:hAnsi="Arial" w:cs="Arial"/>
                  <w:sz w:val="22"/>
                  <w:szCs w:val="22"/>
                </w:rPr>
                <w:t>visit</w:t>
              </w:r>
              <w:proofErr w:type="gramEnd"/>
            </w:hyperlink>
            <w:hyperlink w:anchor="ky4y8v31vis6">
              <w:r w:rsidRPr="009513B2">
                <w:rPr>
                  <w:rStyle w:val="Hyperlink"/>
                  <w:rFonts w:ascii="Arial" w:hAnsi="Arial" w:cs="Arial"/>
                  <w:sz w:val="22"/>
                  <w:szCs w:val="22"/>
                </w:rPr>
                <w:t xml:space="preserve"> at-a</w:t>
              </w:r>
            </w:hyperlink>
            <w:hyperlink w:anchor="ky4y8v31vis6">
              <w:r w:rsidRPr="009513B2">
                <w:rPr>
                  <w:rStyle w:val="Hyperlink"/>
                  <w:rFonts w:ascii="Arial" w:hAnsi="Arial" w:cs="Arial"/>
                  <w:sz w:val="22"/>
                  <w:szCs w:val="22"/>
                </w:rPr>
                <w:t>-</w:t>
              </w:r>
            </w:hyperlink>
            <w:hyperlink w:anchor="ky4y8v31vis6">
              <w:r w:rsidRPr="009513B2">
                <w:rPr>
                  <w:rStyle w:val="Hyperlink"/>
                  <w:rFonts w:ascii="Arial" w:hAnsi="Arial" w:cs="Arial"/>
                  <w:sz w:val="22"/>
                  <w:szCs w:val="22"/>
                </w:rPr>
                <w:t>glance</w:t>
              </w:r>
            </w:hyperlink>
            <w:r w:rsidRPr="009513B2">
              <w:rPr>
                <w:rFonts w:ascii="Arial" w:hAnsi="Arial" w:cs="Arial"/>
                <w:sz w:val="22"/>
                <w:szCs w:val="22"/>
              </w:rPr>
              <w:t>.</w:t>
            </w:r>
          </w:p>
          <w:p w14:paraId="17E62D69" w14:textId="77777777" w:rsidR="009513B2" w:rsidRPr="009513B2" w:rsidRDefault="009513B2" w:rsidP="009513B2">
            <w:pPr>
              <w:numPr>
                <w:ilvl w:val="0"/>
                <w:numId w:val="1"/>
              </w:numPr>
              <w:rPr>
                <w:rFonts w:ascii="Arial" w:hAnsi="Arial" w:cs="Arial"/>
                <w:sz w:val="22"/>
                <w:szCs w:val="22"/>
              </w:rPr>
            </w:pPr>
            <w:r w:rsidRPr="009513B2">
              <w:rPr>
                <w:rFonts w:ascii="Arial" w:hAnsi="Arial" w:cs="Arial"/>
                <w:b/>
                <w:bCs/>
                <w:sz w:val="22"/>
                <w:szCs w:val="22"/>
              </w:rPr>
              <w:t xml:space="preserve">Prep and confirm logistics. </w:t>
            </w:r>
            <w:r w:rsidRPr="009513B2">
              <w:rPr>
                <w:rFonts w:ascii="Arial" w:hAnsi="Arial" w:cs="Arial"/>
                <w:sz w:val="22"/>
                <w:szCs w:val="22"/>
              </w:rPr>
              <w:t xml:space="preserve">Confirm room, timing, and AV needs (projector, screen, speakers) with the teacher — and if mock trial's part of your visit, start earlier: scripts and role assignments need lead time. Then build your full presentation, from opening hook to closing takeaway — don't wing it. See </w:t>
            </w:r>
            <w:hyperlink w:anchor="_Visit_Agenda_&amp;" w:history="1">
              <w:r w:rsidRPr="009513B2">
                <w:rPr>
                  <w:rStyle w:val="Hyperlink"/>
                  <w:rFonts w:ascii="Arial" w:hAnsi="Arial" w:cs="Arial"/>
                  <w:sz w:val="22"/>
                  <w:szCs w:val="22"/>
                </w:rPr>
                <w:t>Visit Agenda &amp; Tips</w:t>
              </w:r>
              <w:r w:rsidRPr="009513B2">
                <w:rPr>
                  <w:rStyle w:val="Hyperlink"/>
                  <w:rFonts w:ascii="Arial" w:hAnsi="Arial" w:cs="Arial"/>
                  <w:b/>
                  <w:bCs/>
                  <w:sz w:val="22"/>
                  <w:szCs w:val="22"/>
                </w:rPr>
                <w:t>.</w:t>
              </w:r>
            </w:hyperlink>
          </w:p>
        </w:tc>
      </w:tr>
    </w:tbl>
    <w:p w14:paraId="4AB2E97B" w14:textId="77777777" w:rsidR="00581AB9" w:rsidRPr="009513B2" w:rsidRDefault="00581AB9">
      <w:pPr>
        <w:rPr>
          <w:rFonts w:ascii="Arial" w:hAnsi="Arial" w:cs="Arial"/>
        </w:rPr>
      </w:pPr>
    </w:p>
    <w:sectPr w:rsidR="00581AB9" w:rsidRPr="009513B2" w:rsidSect="009513B2">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DB017C"/>
    <w:multiLevelType w:val="multilevel"/>
    <w:tmpl w:val="21146678"/>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E0D3E34"/>
    <w:multiLevelType w:val="multilevel"/>
    <w:tmpl w:val="05EEEF54"/>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3E6242C"/>
    <w:multiLevelType w:val="hybridMultilevel"/>
    <w:tmpl w:val="DB6C38BA"/>
    <w:lvl w:ilvl="0" w:tplc="BEC2D2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58288334">
    <w:abstractNumId w:val="1"/>
  </w:num>
  <w:num w:numId="2" w16cid:durableId="796333356">
    <w:abstractNumId w:val="0"/>
  </w:num>
  <w:num w:numId="3" w16cid:durableId="195057743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B2"/>
    <w:rsid w:val="002C2110"/>
    <w:rsid w:val="00581AB9"/>
    <w:rsid w:val="005C252E"/>
    <w:rsid w:val="00896E6D"/>
    <w:rsid w:val="009513B2"/>
    <w:rsid w:val="00973CBF"/>
    <w:rsid w:val="00A739B6"/>
    <w:rsid w:val="00C049D9"/>
    <w:rsid w:val="00D35CC0"/>
    <w:rsid w:val="00E10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D37C95"/>
  <w15:chartTrackingRefBased/>
  <w15:docId w15:val="{A4DE3BBC-138C-5346-8A7F-78319639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3B2"/>
    <w:rPr>
      <w:rFonts w:eastAsiaTheme="majorEastAsia" w:cstheme="majorBidi"/>
      <w:color w:val="272727" w:themeColor="text1" w:themeTint="D8"/>
    </w:rPr>
  </w:style>
  <w:style w:type="paragraph" w:styleId="Title">
    <w:name w:val="Title"/>
    <w:basedOn w:val="Normal"/>
    <w:next w:val="Normal"/>
    <w:link w:val="TitleChar"/>
    <w:uiPriority w:val="10"/>
    <w:qFormat/>
    <w:rsid w:val="00951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3B2"/>
    <w:pPr>
      <w:spacing w:before="160"/>
      <w:jc w:val="center"/>
    </w:pPr>
    <w:rPr>
      <w:i/>
      <w:iCs/>
      <w:color w:val="404040" w:themeColor="text1" w:themeTint="BF"/>
    </w:rPr>
  </w:style>
  <w:style w:type="character" w:customStyle="1" w:styleId="QuoteChar">
    <w:name w:val="Quote Char"/>
    <w:basedOn w:val="DefaultParagraphFont"/>
    <w:link w:val="Quote"/>
    <w:uiPriority w:val="29"/>
    <w:rsid w:val="009513B2"/>
    <w:rPr>
      <w:i/>
      <w:iCs/>
      <w:color w:val="404040" w:themeColor="text1" w:themeTint="BF"/>
    </w:rPr>
  </w:style>
  <w:style w:type="paragraph" w:styleId="ListParagraph">
    <w:name w:val="List Paragraph"/>
    <w:basedOn w:val="Normal"/>
    <w:uiPriority w:val="34"/>
    <w:qFormat/>
    <w:rsid w:val="009513B2"/>
    <w:pPr>
      <w:ind w:left="720"/>
      <w:contextualSpacing/>
    </w:pPr>
  </w:style>
  <w:style w:type="character" w:styleId="IntenseEmphasis">
    <w:name w:val="Intense Emphasis"/>
    <w:basedOn w:val="DefaultParagraphFont"/>
    <w:uiPriority w:val="21"/>
    <w:qFormat/>
    <w:rsid w:val="009513B2"/>
    <w:rPr>
      <w:i/>
      <w:iCs/>
      <w:color w:val="0F4761" w:themeColor="accent1" w:themeShade="BF"/>
    </w:rPr>
  </w:style>
  <w:style w:type="paragraph" w:styleId="IntenseQuote">
    <w:name w:val="Intense Quote"/>
    <w:basedOn w:val="Normal"/>
    <w:next w:val="Normal"/>
    <w:link w:val="IntenseQuoteChar"/>
    <w:uiPriority w:val="30"/>
    <w:qFormat/>
    <w:rsid w:val="00951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3B2"/>
    <w:rPr>
      <w:i/>
      <w:iCs/>
      <w:color w:val="0F4761" w:themeColor="accent1" w:themeShade="BF"/>
    </w:rPr>
  </w:style>
  <w:style w:type="character" w:styleId="IntenseReference">
    <w:name w:val="Intense Reference"/>
    <w:basedOn w:val="DefaultParagraphFont"/>
    <w:uiPriority w:val="32"/>
    <w:qFormat/>
    <w:rsid w:val="009513B2"/>
    <w:rPr>
      <w:b/>
      <w:bCs/>
      <w:smallCaps/>
      <w:color w:val="0F4761" w:themeColor="accent1" w:themeShade="BF"/>
      <w:spacing w:val="5"/>
    </w:rPr>
  </w:style>
  <w:style w:type="character" w:styleId="Hyperlink">
    <w:name w:val="Hyperlink"/>
    <w:basedOn w:val="DefaultParagraphFont"/>
    <w:uiPriority w:val="99"/>
    <w:unhideWhenUsed/>
    <w:rsid w:val="009513B2"/>
    <w:rPr>
      <w:color w:val="467886" w:themeColor="hyperlink"/>
      <w:u w:val="single"/>
    </w:rPr>
  </w:style>
  <w:style w:type="character" w:styleId="UnresolvedMention">
    <w:name w:val="Unresolved Mention"/>
    <w:basedOn w:val="DefaultParagraphFont"/>
    <w:uiPriority w:val="99"/>
    <w:semiHidden/>
    <w:unhideWhenUsed/>
    <w:rsid w:val="009513B2"/>
    <w:rPr>
      <w:color w:val="605E5C"/>
      <w:shd w:val="clear" w:color="auto" w:fill="E1DFDD"/>
    </w:rPr>
  </w:style>
  <w:style w:type="character" w:styleId="FollowedHyperlink">
    <w:name w:val="FollowedHyperlink"/>
    <w:basedOn w:val="DefaultParagraphFont"/>
    <w:uiPriority w:val="99"/>
    <w:semiHidden/>
    <w:unhideWhenUsed/>
    <w:rsid w:val="009513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sba.org/docs/default-source/resources-services/ambassador/2026-lawyers-in-the-classroom---volunteer-toolkit.pdf?sfvrsn=1bde6f1_1"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A364399A0A5459BAB87D02DE6339E" ma:contentTypeVersion="20" ma:contentTypeDescription="Create a new document." ma:contentTypeScope="" ma:versionID="b9ce9f5ea223342dce9ff98caeca31e2">
  <xsd:schema xmlns:xsd="http://www.w3.org/2001/XMLSchema" xmlns:xs="http://www.w3.org/2001/XMLSchema" xmlns:p="http://schemas.microsoft.com/office/2006/metadata/properties" xmlns:ns1="http://schemas.microsoft.com/sharepoint/v3" xmlns:ns2="9301ceea-b7ec-4866-8e92-7dd9ae7b611d" xmlns:ns3="0400c532-138a-47ad-85e7-898c0fa68308" targetNamespace="http://schemas.microsoft.com/office/2006/metadata/properties" ma:root="true" ma:fieldsID="a702e0f120d50ca56e8306f62e70744d" ns1:_="" ns2:_="" ns3:_="">
    <xsd:import namespace="http://schemas.microsoft.com/sharepoint/v3"/>
    <xsd:import namespace="9301ceea-b7ec-4866-8e92-7dd9ae7b611d"/>
    <xsd:import namespace="0400c532-138a-47ad-85e7-898c0fa68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1:_ip_UnifiedCompliancePolicyProperties" minOccurs="0"/>
                <xsd:element ref="ns1:_ip_UnifiedCompliancePolicyUIAction" minOccurs="0"/>
                <xsd:element ref="ns2:Imag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1ceea-b7ec-4866-8e92-7dd9ae7b6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ee24962-7a89-47d6-ab2d-29f3dde672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mages" ma:index="26" nillable="true" ma:displayName="Images" ma:format="Thumbnail" ma:internalName="Images">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0c532-138a-47ad-85e7-898c0fa683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cb77bc-cc15-468c-8998-02e9730e24a0}" ma:internalName="TaxCatchAll" ma:showField="CatchAllData" ma:web="0400c532-138a-47ad-85e7-898c0fa683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s xmlns="9301ceea-b7ec-4866-8e92-7dd9ae7b611d" xsi:nil="true"/>
    <_ip_UnifiedCompliancePolicyUIAction xmlns="http://schemas.microsoft.com/sharepoint/v3" xsi:nil="true"/>
    <TaxCatchAll xmlns="0400c532-138a-47ad-85e7-898c0fa68308" xsi:nil="true"/>
    <_ip_UnifiedCompliancePolicyProperties xmlns="http://schemas.microsoft.com/sharepoint/v3" xsi:nil="true"/>
    <lcf76f155ced4ddcb4097134ff3c332f xmlns="9301ceea-b7ec-4866-8e92-7dd9ae7b61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BFA3DE-8D86-41D5-82E6-8D12D9A2E39D}"/>
</file>

<file path=customXml/itemProps2.xml><?xml version="1.0" encoding="utf-8"?>
<ds:datastoreItem xmlns:ds="http://schemas.openxmlformats.org/officeDocument/2006/customXml" ds:itemID="{0BAA893A-7319-43CA-959E-215982B64D73}"/>
</file>

<file path=customXml/itemProps3.xml><?xml version="1.0" encoding="utf-8"?>
<ds:datastoreItem xmlns:ds="http://schemas.openxmlformats.org/officeDocument/2006/customXml" ds:itemID="{5DEDF220-4193-4910-AE33-B86F375A12D1}"/>
</file>

<file path=docProps/app.xml><?xml version="1.0" encoding="utf-8"?>
<Properties xmlns="http://schemas.openxmlformats.org/officeDocument/2006/extended-properties" xmlns:vt="http://schemas.openxmlformats.org/officeDocument/2006/docPropsVTypes">
  <Template>Normal.dotm</Template>
  <TotalTime>7</TotalTime>
  <Pages>2</Pages>
  <Words>492</Words>
  <Characters>2806</Characters>
  <Application>Microsoft Office Word</Application>
  <DocSecurity>0</DocSecurity>
  <Lines>23</Lines>
  <Paragraphs>6</Paragraphs>
  <ScaleCrop>false</ScaleCrop>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Pham</dc:creator>
  <cp:keywords/>
  <dc:description/>
  <cp:lastModifiedBy>Evan Pham</cp:lastModifiedBy>
  <cp:revision>1</cp:revision>
  <dcterms:created xsi:type="dcterms:W3CDTF">2026-08-18T18:08:00Z</dcterms:created>
  <dcterms:modified xsi:type="dcterms:W3CDTF">2026-08-18T18:16:00Z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0x01010062DA364399A0A5459BAB87D02DE6339E</vt:lpwstr>
  </property>
</Properties>
</file>